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114300</wp:posOffset>
            </wp:positionV>
            <wp:extent cx="2757488" cy="1969634"/>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6"/>
                    <a:srcRect b="3652" l="0" r="3652" t="0"/>
                    <a:stretch>
                      <a:fillRect/>
                    </a:stretch>
                  </pic:blipFill>
                  <pic:spPr>
                    <a:xfrm>
                      <a:off x="0" y="0"/>
                      <a:ext cx="2757488" cy="1969634"/>
                    </a:xfrm>
                    <a:prstGeom prst="rect"/>
                    <a:ln/>
                  </pic:spPr>
                </pic:pic>
              </a:graphicData>
            </a:graphic>
          </wp:anchor>
        </w:drawing>
      </w:r>
    </w:p>
    <w:p w:rsidR="00000000" w:rsidDel="00000000" w:rsidP="00000000" w:rsidRDefault="00000000" w:rsidRPr="00000000" w14:paraId="00000002">
      <w:pPr>
        <w:pageBreakBefore w:val="0"/>
        <w:jc w:val="both"/>
        <w:rPr>
          <w:sz w:val="40"/>
          <w:szCs w:val="40"/>
        </w:rPr>
      </w:pPr>
      <w:r w:rsidDel="00000000" w:rsidR="00000000" w:rsidRPr="00000000">
        <w:rPr>
          <w:b w:val="1"/>
          <w:sz w:val="62"/>
          <w:szCs w:val="62"/>
          <w:rtl w:val="0"/>
        </w:rPr>
        <w:t xml:space="preserve">“PLOTEO DE TACHOS PARA PUNTOS VERDES”</w:t>
      </w:r>
      <w:r w:rsidDel="00000000" w:rsidR="00000000" w:rsidRPr="00000000">
        <w:rPr>
          <w:sz w:val="40"/>
          <w:szCs w:val="40"/>
          <w:rtl w:val="0"/>
        </w:rPr>
        <w:t xml:space="preserve"> </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i w:val="1"/>
        </w:rPr>
      </w:pPr>
      <w:r w:rsidDel="00000000" w:rsidR="00000000" w:rsidRPr="00000000">
        <w:rPr>
          <w:b w:val="1"/>
          <w:sz w:val="34"/>
          <w:szCs w:val="34"/>
          <w:rtl w:val="0"/>
        </w:rPr>
        <w:t xml:space="preserve">ADJUDICACIÓN SIMPLE N° 19/2022</w:t>
      </w:r>
      <w:r w:rsidDel="00000000" w:rsidR="00000000" w:rsidRPr="00000000">
        <w:rPr>
          <w:rtl w:val="0"/>
        </w:rPr>
      </w:r>
    </w:p>
    <w:p w:rsidR="00000000" w:rsidDel="00000000" w:rsidP="00000000" w:rsidRDefault="00000000" w:rsidRPr="00000000" w14:paraId="00000005">
      <w:pPr>
        <w:pageBreakBefore w:val="0"/>
        <w:jc w:val="both"/>
        <w:rPr>
          <w:i w:val="1"/>
        </w:rPr>
      </w:pPr>
      <w:r w:rsidDel="00000000" w:rsidR="00000000" w:rsidRPr="00000000">
        <w:rPr>
          <w:i w:val="1"/>
          <w:rtl w:val="0"/>
        </w:rPr>
        <w:t xml:space="preserve">Expediente N° 1466/2022 </w:t>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INICIADOR: Secretaría de Medio Ambiente y Espacios Públicos.</w:t>
      </w:r>
    </w:p>
    <w:p w:rsidR="00000000" w:rsidDel="00000000" w:rsidP="00000000" w:rsidRDefault="00000000" w:rsidRPr="00000000" w14:paraId="00000007">
      <w:pPr>
        <w:pageBreakBefore w:val="0"/>
        <w:jc w:val="both"/>
        <w:rPr>
          <w:i w:val="1"/>
        </w:rPr>
      </w:pPr>
      <w:r w:rsidDel="00000000" w:rsidR="00000000" w:rsidRPr="00000000">
        <w:rPr>
          <w:rtl w:val="0"/>
        </w:rPr>
      </w:r>
    </w:p>
    <w:p w:rsidR="00000000" w:rsidDel="00000000" w:rsidP="00000000" w:rsidRDefault="00000000" w:rsidRPr="00000000" w14:paraId="00000008">
      <w:pPr>
        <w:pageBreakBefore w:val="0"/>
        <w:jc w:val="both"/>
        <w:rPr>
          <w:b w:val="1"/>
          <w:sz w:val="30"/>
          <w:szCs w:val="30"/>
        </w:rPr>
      </w:pPr>
      <w:r w:rsidDel="00000000" w:rsidR="00000000" w:rsidRPr="00000000">
        <w:rPr>
          <w:sz w:val="32"/>
          <w:szCs w:val="32"/>
          <w:rtl w:val="0"/>
        </w:rPr>
        <w:t xml:space="preserve"> </w:t>
      </w:r>
      <w:r w:rsidDel="00000000" w:rsidR="00000000" w:rsidRPr="00000000">
        <w:rPr>
          <w:b w:val="1"/>
          <w:i w:val="1"/>
          <w:sz w:val="32"/>
          <w:szCs w:val="32"/>
          <w:u w:val="single"/>
          <w:rtl w:val="0"/>
        </w:rPr>
        <w:t xml:space="preserve">Fecha de apertura</w:t>
      </w:r>
      <w:r w:rsidDel="00000000" w:rsidR="00000000" w:rsidRPr="00000000">
        <w:rPr>
          <w:sz w:val="32"/>
          <w:szCs w:val="32"/>
          <w:rtl w:val="0"/>
        </w:rPr>
        <w:t xml:space="preserve">: </w:t>
      </w:r>
      <w:r w:rsidDel="00000000" w:rsidR="00000000" w:rsidRPr="00000000">
        <w:rPr>
          <w:b w:val="1"/>
          <w:sz w:val="30"/>
          <w:szCs w:val="30"/>
          <w:rtl w:val="0"/>
        </w:rPr>
        <w:t xml:space="preserve">Lunes 28</w:t>
      </w:r>
      <w:r w:rsidDel="00000000" w:rsidR="00000000" w:rsidRPr="00000000">
        <w:rPr>
          <w:b w:val="1"/>
          <w:sz w:val="30"/>
          <w:szCs w:val="30"/>
          <w:rtl w:val="0"/>
        </w:rPr>
        <w:t xml:space="preserve"> de Marzo de 2.022 – 12:00 hs.</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-Fecha límite para consultas Viernes 25 de Marzo.</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color w:val="0000ff"/>
          <w:u w:val="single"/>
        </w:rPr>
      </w:pPr>
      <w:r w:rsidDel="00000000" w:rsidR="00000000" w:rsidRPr="00000000">
        <w:rPr>
          <w:rtl w:val="0"/>
        </w:rPr>
        <w:t xml:space="preserve">-Enviar las ofertas vía mail a </w:t>
      </w:r>
      <w:r w:rsidDel="00000000" w:rsidR="00000000" w:rsidRPr="00000000">
        <w:rPr>
          <w:color w:val="0000ff"/>
          <w:u w:val="single"/>
          <w:rtl w:val="0"/>
        </w:rPr>
        <w:t xml:space="preserve">contrataciones@munisanlorenzo.gob.ar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sz w:val="36"/>
          <w:szCs w:val="36"/>
        </w:rPr>
      </w:pPr>
      <w:r w:rsidDel="00000000" w:rsidR="00000000" w:rsidRPr="00000000">
        <w:rPr>
          <w:b w:val="1"/>
          <w:sz w:val="36"/>
          <w:szCs w:val="36"/>
          <w:u w:val="single"/>
          <w:rtl w:val="0"/>
        </w:rPr>
        <w:t xml:space="preserve">-Presupuesto oficial:</w:t>
      </w:r>
      <w:r w:rsidDel="00000000" w:rsidR="00000000" w:rsidRPr="00000000">
        <w:rPr>
          <w:sz w:val="36"/>
          <w:szCs w:val="36"/>
          <w:rtl w:val="0"/>
        </w:rPr>
        <w:t xml:space="preserve"> $120.000,00(pesos ciento veinte mil con 00/100)</w:t>
      </w:r>
    </w:p>
    <w:p w:rsidR="00000000" w:rsidDel="00000000" w:rsidP="00000000" w:rsidRDefault="00000000" w:rsidRPr="00000000" w14:paraId="00000010">
      <w:pPr>
        <w:pageBreakBefore w:val="0"/>
        <w:jc w:val="both"/>
        <w:rPr>
          <w:color w:val="0000ff"/>
          <w:u w:val="single"/>
        </w:rPr>
      </w:pPr>
      <w:r w:rsidDel="00000000" w:rsidR="00000000" w:rsidRPr="00000000">
        <w:rPr>
          <w:rtl w:val="0"/>
        </w:rPr>
      </w:r>
    </w:p>
    <w:p w:rsidR="00000000" w:rsidDel="00000000" w:rsidP="00000000" w:rsidRDefault="00000000" w:rsidRPr="00000000" w14:paraId="00000011">
      <w:pPr>
        <w:pageBreakBefore w:val="0"/>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El presente pliego deberá ser firmado, al igual que la propuesta, por quien tenga el uso de la razón social o actúe con poder suficiente. </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6">
      <w:pPr>
        <w:pageBreakBefore w:val="0"/>
        <w:jc w:val="both"/>
        <w:rPr/>
      </w:pPr>
      <w:r w:rsidDel="00000000" w:rsidR="00000000" w:rsidRPr="00000000">
        <w:rPr>
          <w:rtl w:val="0"/>
        </w:rPr>
        <w:t xml:space="preserve">La Municipalidad se reserva el derecho de adjudicar en forma total, parcial o por renglón, en su caso anular el renglón solicitado, considerando marcas, calidad, precio y uso frecuente. </w:t>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 </w:t>
      </w:r>
    </w:p>
    <w:p w:rsidR="00000000" w:rsidDel="00000000" w:rsidP="00000000" w:rsidRDefault="00000000" w:rsidRPr="00000000" w14:paraId="00000019">
      <w:pPr>
        <w:pageBreakBefore w:val="0"/>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b w:val="1"/>
          <w:u w:val="single"/>
        </w:rPr>
      </w:pPr>
      <w:r w:rsidDel="00000000" w:rsidR="00000000" w:rsidRPr="00000000">
        <w:rPr>
          <w:rtl w:val="0"/>
        </w:rPr>
      </w:r>
    </w:p>
    <w:p w:rsidR="00000000" w:rsidDel="00000000" w:rsidP="00000000" w:rsidRDefault="00000000" w:rsidRPr="00000000" w14:paraId="0000001C">
      <w:pPr>
        <w:pageBreakBefore w:val="0"/>
        <w:jc w:val="both"/>
        <w:rPr>
          <w:b w:val="1"/>
          <w:u w:val="single"/>
        </w:rPr>
      </w:pPr>
      <w:r w:rsidDel="00000000" w:rsidR="00000000" w:rsidRPr="00000000">
        <w:rPr>
          <w:b w:val="1"/>
          <w:u w:val="single"/>
          <w:rtl w:val="0"/>
        </w:rPr>
        <w:t xml:space="preserve"> CONDICIONES PARTICULARES</w:t>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 incluido operario y combustible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 Inmediata del servicio</w:t>
      </w:r>
    </w:p>
    <w:p w:rsidR="00000000" w:rsidDel="00000000" w:rsidP="00000000" w:rsidRDefault="00000000" w:rsidRPr="00000000" w14:paraId="00000022">
      <w:pPr>
        <w:pageBreakBefore w:val="0"/>
        <w:ind w:left="720" w:firstLine="0"/>
        <w:jc w:val="both"/>
        <w:rPr/>
      </w:pPr>
      <w:r w:rsidDel="00000000" w:rsidR="00000000" w:rsidRPr="00000000">
        <w:rPr>
          <w:rtl w:val="0"/>
        </w:rPr>
      </w:r>
    </w:p>
    <w:p w:rsidR="00000000" w:rsidDel="00000000" w:rsidP="00000000" w:rsidRDefault="00000000" w:rsidRPr="00000000" w14:paraId="00000023">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4">
      <w:pPr>
        <w:pageBreakBefore w:val="0"/>
        <w:ind w:left="0" w:firstLine="0"/>
        <w:jc w:val="both"/>
        <w:rPr/>
      </w:pPr>
      <w:r w:rsidDel="00000000" w:rsidR="00000000" w:rsidRPr="00000000">
        <w:rPr>
          <w:rtl w:val="0"/>
        </w:rPr>
        <w:t xml:space="preserve"> Los oferentes deberán mantener sus ofertas por el plazo de diez (10) días hábiles a partir del día siguiente a la fecha de apertura. </w:t>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Para adjudicar el contrato se tendrá en cuenta, además del precio, las especificaciones técnicas. 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notificara a los participantes vía correo electrónico (consignado al momento de la realización de la Oferta) el resultado del proceso licitatorio. </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CHEQUE Y/O TRANSFERENCIA BANCARIA 100% CONTRA ENTREGA</w:t>
      </w: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Las facturas deberán confeccionarse a nombre de la Municipalidad de San Lorenzo, incluyendo los siguientes datos: CUIT:30-65674783-4; IVA SUJETO EXENTO e indicando necesariamente el Nº de Orden de Compra y el Nº de Remito/s correspondientes. Deberá entregarse la totalidad de la mercadería solicitada en la Orden de Compra para que la facturación pueda ser considerada para pagos.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1">
      <w:pPr>
        <w:pageBreakBefore w:val="0"/>
        <w:ind w:left="0" w:firstLine="0"/>
        <w:jc w:val="both"/>
        <w:rPr/>
      </w:pPr>
      <w:r w:rsidDel="00000000" w:rsidR="00000000" w:rsidRPr="00000000">
        <w:rPr>
          <w:rtl w:val="0"/>
        </w:rPr>
        <w:t xml:space="preserve">7 días hábiles notificada la Orden de Compra</w:t>
      </w:r>
    </w:p>
    <w:p w:rsidR="00000000" w:rsidDel="00000000" w:rsidP="00000000" w:rsidRDefault="00000000" w:rsidRPr="00000000" w14:paraId="00000032">
      <w:pPr>
        <w:pageBreakBefore w:val="0"/>
        <w:ind w:left="0" w:firstLine="0"/>
        <w:jc w:val="both"/>
        <w:rPr/>
      </w:pPr>
      <w:r w:rsidDel="00000000" w:rsidR="00000000" w:rsidRPr="00000000">
        <w:rPr>
          <w:rtl w:val="0"/>
        </w:rPr>
      </w:r>
    </w:p>
    <w:p w:rsidR="00000000" w:rsidDel="00000000" w:rsidP="00000000" w:rsidRDefault="00000000" w:rsidRPr="00000000" w14:paraId="00000033">
      <w:pPr>
        <w:pageBreakBefore w:val="0"/>
        <w:ind w:left="0" w:firstLine="0"/>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4">
      <w:pPr>
        <w:pageBreakBefore w:val="0"/>
        <w:ind w:left="0" w:firstLine="0"/>
        <w:jc w:val="both"/>
        <w:rPr/>
      </w:pPr>
      <w:r w:rsidDel="00000000" w:rsidR="00000000" w:rsidRPr="00000000">
        <w:rPr>
          <w:rtl w:val="0"/>
        </w:rPr>
        <w:t xml:space="preserve">Municipalidad de San Lorenzo o a convenir. </w:t>
      </w:r>
    </w:p>
    <w:p w:rsidR="00000000" w:rsidDel="00000000" w:rsidP="00000000" w:rsidRDefault="00000000" w:rsidRPr="00000000" w14:paraId="00000035">
      <w:pPr>
        <w:pageBreakBefore w:val="0"/>
        <w:ind w:left="0" w:firstLine="0"/>
        <w:jc w:val="both"/>
        <w:rPr/>
      </w:pPr>
      <w:r w:rsidDel="00000000" w:rsidR="00000000" w:rsidRPr="00000000">
        <w:rPr>
          <w:rtl w:val="0"/>
        </w:rPr>
        <w:t xml:space="preserve">Avenida San Martín N° 1850</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38">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La duración del contrato será hasta Diciembre del 2.022(inclusive), con opción de renovación.- </w:t>
      </w:r>
    </w:p>
    <w:p w:rsidR="00000000" w:rsidDel="00000000" w:rsidP="00000000" w:rsidRDefault="00000000" w:rsidRPr="00000000" w14:paraId="0000003B">
      <w:pPr>
        <w:pageBreakBefore w:val="0"/>
        <w:ind w:left="0" w:firstLine="0"/>
        <w:jc w:val="both"/>
        <w:rPr/>
      </w:pPr>
      <w:r w:rsidDel="00000000" w:rsidR="00000000" w:rsidRPr="00000000">
        <w:rPr>
          <w:rtl w:val="0"/>
        </w:rPr>
      </w:r>
    </w:p>
    <w:p w:rsidR="00000000" w:rsidDel="00000000" w:rsidP="00000000" w:rsidRDefault="00000000" w:rsidRPr="00000000" w14:paraId="0000003C">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3D">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3E">
      <w:pPr>
        <w:pageBreakBefore w:val="0"/>
        <w:ind w:left="0" w:firstLine="0"/>
        <w:jc w:val="both"/>
        <w:rPr>
          <w:u w:val="single"/>
        </w:rPr>
      </w:pPr>
      <w:r w:rsidDel="00000000" w:rsidR="00000000" w:rsidRPr="00000000">
        <w:rPr>
          <w:rtl w:val="0"/>
        </w:rPr>
      </w:r>
    </w:p>
    <w:p w:rsidR="00000000" w:rsidDel="00000000" w:rsidP="00000000" w:rsidRDefault="00000000" w:rsidRPr="00000000" w14:paraId="0000003F">
      <w:pPr>
        <w:pageBreakBefore w:val="0"/>
        <w:ind w:left="0" w:firstLine="0"/>
        <w:jc w:val="both"/>
        <w:rPr>
          <w:u w:val="single"/>
        </w:rPr>
      </w:pPr>
      <w:r w:rsidDel="00000000" w:rsidR="00000000" w:rsidRPr="00000000">
        <w:rPr>
          <w:u w:val="single"/>
          <w:rtl w:val="0"/>
        </w:rPr>
        <w:t xml:space="preserve">Invariabilidad de los precios contractuales:</w:t>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41">
      <w:pPr>
        <w:pageBreakBefore w:val="0"/>
        <w:ind w:left="0" w:firstLine="0"/>
        <w:jc w:val="both"/>
        <w:rPr/>
      </w:pPr>
      <w:r w:rsidDel="00000000" w:rsidR="00000000" w:rsidRPr="00000000">
        <w:rPr>
          <w:rtl w:val="0"/>
        </w:rPr>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b w:val="1"/>
          <w:u w:val="single"/>
          <w:rtl w:val="0"/>
        </w:rPr>
        <w:t xml:space="preserve">LISTADO:</w:t>
      </w:r>
    </w:p>
    <w:p w:rsidR="00000000" w:rsidDel="00000000" w:rsidP="00000000" w:rsidRDefault="00000000" w:rsidRPr="00000000" w14:paraId="00000045">
      <w:pPr>
        <w:pageBreakBefore w:val="0"/>
        <w:ind w:left="0" w:firstLine="0"/>
        <w:jc w:val="both"/>
        <w:rPr>
          <w:b w:val="1"/>
          <w:u w:val="single"/>
        </w:rPr>
      </w:pPr>
      <w:r w:rsidDel="00000000" w:rsidR="00000000" w:rsidRPr="00000000">
        <w:rPr>
          <w:rtl w:val="0"/>
        </w:rPr>
      </w:r>
    </w:p>
    <w:tbl>
      <w:tblPr>
        <w:tblStyle w:val="Table1"/>
        <w:tblW w:w="9152.41706161137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1563981042653"/>
        <w:gridCol w:w="1080"/>
        <w:gridCol w:w="2415"/>
        <w:gridCol w:w="2340"/>
        <w:gridCol w:w="1365.995260663507"/>
        <w:gridCol w:w="1279.2654028436018"/>
        <w:tblGridChange w:id="0">
          <w:tblGrid>
            <w:gridCol w:w="672.1563981042653"/>
            <w:gridCol w:w="1080"/>
            <w:gridCol w:w="2415"/>
            <w:gridCol w:w="2340"/>
            <w:gridCol w:w="1365.995260663507"/>
            <w:gridCol w:w="1279.265402843601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sz w:val="14"/>
                <w:szCs w:val="14"/>
              </w:rPr>
            </w:pPr>
            <w:r w:rsidDel="00000000" w:rsidR="00000000" w:rsidRPr="00000000">
              <w:rPr>
                <w:sz w:val="14"/>
                <w:szCs w:val="14"/>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b w:val="1"/>
                <w:sz w:val="20"/>
                <w:szCs w:val="20"/>
                <w:u w:val="single"/>
              </w:rPr>
            </w:pPr>
            <w:r w:rsidDel="00000000" w:rsidR="00000000" w:rsidRPr="00000000">
              <w:rPr>
                <w:b w:val="1"/>
                <w:sz w:val="20"/>
                <w:szCs w:val="20"/>
                <w:u w:val="single"/>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b w:val="1"/>
                <w:sz w:val="20"/>
                <w:szCs w:val="20"/>
                <w:u w:val="single"/>
              </w:rPr>
            </w:pPr>
            <w:r w:rsidDel="00000000" w:rsidR="00000000" w:rsidRPr="00000000">
              <w:rPr>
                <w:b w:val="1"/>
                <w:sz w:val="20"/>
                <w:szCs w:val="20"/>
                <w:u w:val="single"/>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b w:val="1"/>
                <w:u w:val="single"/>
              </w:rPr>
            </w:pPr>
            <w:r w:rsidDel="00000000" w:rsidR="00000000" w:rsidRPr="00000000">
              <w:rPr>
                <w:b w:val="1"/>
                <w:u w:val="single"/>
                <w:rtl w:val="0"/>
              </w:rPr>
              <w:t xml:space="preserve">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u w:val="single"/>
              </w:rPr>
            </w:pPr>
            <w:r w:rsidDel="00000000" w:rsidR="00000000" w:rsidRPr="00000000">
              <w:rPr>
                <w:b w:val="1"/>
                <w:u w:val="single"/>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u w:val="single"/>
              </w:rPr>
            </w:pPr>
            <w:r w:rsidDel="00000000" w:rsidR="00000000" w:rsidRPr="00000000">
              <w:rPr>
                <w:b w:val="1"/>
                <w:u w:val="single"/>
                <w:rtl w:val="0"/>
              </w:rPr>
              <w:t xml:space="preserve">TOTAL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 ploteo de tachos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sz w:val="20"/>
                <w:szCs w:val="20"/>
              </w:rPr>
            </w:pPr>
            <w:r w:rsidDel="00000000" w:rsidR="00000000" w:rsidRPr="00000000">
              <w:rPr>
                <w:sz w:val="20"/>
                <w:szCs w:val="20"/>
                <w:rtl w:val="0"/>
              </w:rPr>
              <w:t xml:space="preserve">alta resistencia para exterior cada uno de 2 bocas cada uno. Medida: 2.35 de largo, ancho 1.10 alto 1.60// frente 235x160 y 2 laterales 112x160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2">
      <w:pPr>
        <w:pageBreakBefore w:val="0"/>
        <w:ind w:left="0" w:firstLine="0"/>
        <w:jc w:val="both"/>
        <w:rPr/>
      </w:pPr>
      <w:r w:rsidDel="00000000" w:rsidR="00000000" w:rsidRPr="00000000">
        <w:rPr>
          <w:rtl w:val="0"/>
        </w:rPr>
      </w:r>
    </w:p>
    <w:p w:rsidR="00000000" w:rsidDel="00000000" w:rsidP="00000000" w:rsidRDefault="00000000" w:rsidRPr="00000000" w14:paraId="00000053">
      <w:pPr>
        <w:pageBreakBefore w:val="0"/>
        <w:ind w:left="0" w:firstLine="0"/>
        <w:jc w:val="both"/>
        <w:rPr/>
      </w:pPr>
      <w:r w:rsidDel="00000000" w:rsidR="00000000" w:rsidRPr="00000000">
        <w:rPr>
          <w:rtl w:val="0"/>
        </w:rPr>
        <w:t xml:space="preserve">Obs: Modelo similar. </w:t>
      </w:r>
    </w:p>
    <w:p w:rsidR="00000000" w:rsidDel="00000000" w:rsidP="00000000" w:rsidRDefault="00000000" w:rsidRPr="00000000" w14:paraId="00000054">
      <w:pPr>
        <w:pageBreakBefore w:val="0"/>
        <w:ind w:left="0" w:firstLine="0"/>
        <w:jc w:val="center"/>
        <w:rPr/>
      </w:pPr>
      <w:r w:rsidDel="00000000" w:rsidR="00000000" w:rsidRPr="00000000">
        <w:rPr/>
        <w:drawing>
          <wp:inline distB="114300" distT="114300" distL="114300" distR="114300">
            <wp:extent cx="2657475" cy="19907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990725"/>
                    </a:xfrm>
                    <a:prstGeom prst="rect"/>
                    <a:ln/>
                  </pic:spPr>
                </pic:pic>
              </a:graphicData>
            </a:graphic>
          </wp:inline>
        </w:drawing>
      </w: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