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1209675</wp:posOffset>
            </wp:positionH>
            <wp:positionV relativeFrom="paragraph">
              <wp:posOffset>114300</wp:posOffset>
            </wp:positionV>
            <wp:extent cx="2862263" cy="2048225"/>
            <wp:effectExtent b="0" l="0" r="0" t="0"/>
            <wp:wrapTopAndBottom distB="114300" distT="114300"/>
            <wp:docPr id="3" name="image1.jpg"/>
            <a:graphic>
              <a:graphicData uri="http://schemas.openxmlformats.org/drawingml/2006/picture">
                <pic:pic>
                  <pic:nvPicPr>
                    <pic:cNvPr id="0" name="image1.jpg"/>
                    <pic:cNvPicPr preferRelativeResize="0"/>
                  </pic:nvPicPr>
                  <pic:blipFill>
                    <a:blip r:embed="rId7"/>
                    <a:srcRect b="3652" l="0" r="3652" t="0"/>
                    <a:stretch>
                      <a:fillRect/>
                    </a:stretch>
                  </pic:blipFill>
                  <pic:spPr>
                    <a:xfrm>
                      <a:off x="0" y="0"/>
                      <a:ext cx="2862263" cy="2048225"/>
                    </a:xfrm>
                    <a:prstGeom prst="rect"/>
                    <a:ln/>
                  </pic:spPr>
                </pic:pic>
              </a:graphicData>
            </a:graphic>
          </wp:anchor>
        </w:drawing>
      </w:r>
    </w:p>
    <w:p w:rsidR="00000000" w:rsidDel="00000000" w:rsidP="00000000" w:rsidRDefault="00000000" w:rsidRPr="00000000" w14:paraId="00000002">
      <w:pPr>
        <w:jc w:val="both"/>
        <w:rPr>
          <w:b w:val="1"/>
          <w:sz w:val="62"/>
          <w:szCs w:val="62"/>
        </w:rPr>
      </w:pPr>
      <w:r w:rsidDel="00000000" w:rsidR="00000000" w:rsidRPr="00000000">
        <w:rPr>
          <w:b w:val="1"/>
          <w:sz w:val="62"/>
          <w:szCs w:val="62"/>
          <w:rtl w:val="0"/>
        </w:rPr>
        <w:t xml:space="preserve">“COMPRA MATERIALES DE HERRERIA PARA NUEVA SEDE MUNICIPAL”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b w:val="1"/>
          <w:sz w:val="28"/>
          <w:szCs w:val="28"/>
        </w:rPr>
      </w:pPr>
      <w:bookmarkStart w:colFirst="0" w:colLast="0" w:name="_heading=h.gjdgxs" w:id="0"/>
      <w:bookmarkEnd w:id="0"/>
      <w:r w:rsidDel="00000000" w:rsidR="00000000" w:rsidRPr="00000000">
        <w:rPr>
          <w:b w:val="1"/>
          <w:sz w:val="32"/>
          <w:szCs w:val="32"/>
          <w:rtl w:val="0"/>
        </w:rPr>
        <w:t xml:space="preserve">CONTRATACIÓN ABREVIADA N°28/2022</w:t>
      </w:r>
      <w:r w:rsidDel="00000000" w:rsidR="00000000" w:rsidRPr="00000000">
        <w:rPr>
          <w:rtl w:val="0"/>
        </w:rPr>
      </w:r>
    </w:p>
    <w:p w:rsidR="00000000" w:rsidDel="00000000" w:rsidP="00000000" w:rsidRDefault="00000000" w:rsidRPr="00000000" w14:paraId="00000006">
      <w:pPr>
        <w:jc w:val="both"/>
        <w:rPr>
          <w:b w:val="1"/>
          <w:i w:val="1"/>
        </w:rPr>
      </w:pPr>
      <w:r w:rsidDel="00000000" w:rsidR="00000000" w:rsidRPr="00000000">
        <w:rPr>
          <w:b w:val="1"/>
          <w:i w:val="1"/>
          <w:rtl w:val="0"/>
        </w:rPr>
        <w:t xml:space="preserve">Expediente N°2962/2022</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OBRAS PÚBLICAS</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Fecha de apertura:</w:t>
      </w:r>
      <w:r w:rsidDel="00000000" w:rsidR="00000000" w:rsidRPr="00000000">
        <w:rPr>
          <w:b w:val="1"/>
          <w:sz w:val="24"/>
          <w:szCs w:val="24"/>
          <w:rtl w:val="0"/>
        </w:rPr>
        <w:t xml:space="preserve"> VIERNES 27 </w:t>
      </w:r>
      <w:r w:rsidDel="00000000" w:rsidR="00000000" w:rsidRPr="00000000">
        <w:rPr>
          <w:b w:val="1"/>
          <w:rtl w:val="0"/>
        </w:rPr>
        <w:t xml:space="preserve">de MAYO de 2.022 – 11:00 hs.</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b w:val="1"/>
          <w:sz w:val="32"/>
          <w:szCs w:val="32"/>
          <w:u w:val="single"/>
        </w:rPr>
      </w:pPr>
      <w:r w:rsidDel="00000000" w:rsidR="00000000" w:rsidRPr="00000000">
        <w:rPr>
          <w:b w:val="1"/>
          <w:sz w:val="32"/>
          <w:szCs w:val="32"/>
          <w:u w:val="single"/>
          <w:rtl w:val="0"/>
        </w:rPr>
        <w:t xml:space="preserve">Presupuesto Oficial:</w:t>
      </w:r>
      <w:r w:rsidDel="00000000" w:rsidR="00000000" w:rsidRPr="00000000">
        <w:rPr>
          <w:b w:val="1"/>
          <w:sz w:val="32"/>
          <w:szCs w:val="32"/>
          <w:rtl w:val="0"/>
        </w:rPr>
        <w:t xml:space="preserve"> $513.404,00 (pesos quinientos trece mil cuatrocientos cuatro con 00/100)</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La fecha límite para la realización de consultas será hasta el día Jueves 26 de Mayo de 2022. Consultas a: </w:t>
      </w:r>
      <w:hyperlink r:id="rId8">
        <w:r w:rsidDel="00000000" w:rsidR="00000000" w:rsidRPr="00000000">
          <w:rPr>
            <w:b w:val="1"/>
            <w:color w:val="1155cc"/>
            <w:sz w:val="24"/>
            <w:szCs w:val="24"/>
            <w:u w:val="single"/>
            <w:rtl w:val="0"/>
          </w:rPr>
          <w:t xml:space="preserve">contrataciones@munisanlorenzo.gob.ar</w:t>
        </w:r>
      </w:hyperlink>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rtl w:val="0"/>
        </w:rPr>
      </w:r>
    </w:p>
    <w:p w:rsidR="00000000" w:rsidDel="00000000" w:rsidP="00000000" w:rsidRDefault="00000000" w:rsidRPr="00000000" w14:paraId="0000000F">
      <w:pPr>
        <w:jc w:val="both"/>
        <w:rPr>
          <w:b w:val="1"/>
          <w:sz w:val="36"/>
          <w:szCs w:val="36"/>
        </w:rPr>
      </w:pPr>
      <w:r w:rsidDel="00000000" w:rsidR="00000000" w:rsidRPr="00000000">
        <w:rPr>
          <w:b w:val="1"/>
          <w:sz w:val="36"/>
          <w:szCs w:val="36"/>
          <w:rtl w:val="0"/>
        </w:rPr>
        <w:t xml:space="preserve">-Enviar las propuestas vía correo electrónico (</w:t>
      </w:r>
      <w:hyperlink r:id="rId9">
        <w:r w:rsidDel="00000000" w:rsidR="00000000" w:rsidRPr="00000000">
          <w:rPr>
            <w:b w:val="1"/>
            <w:color w:val="1155cc"/>
            <w:sz w:val="36"/>
            <w:szCs w:val="36"/>
            <w:u w:val="single"/>
            <w:rtl w:val="0"/>
          </w:rPr>
          <w:t xml:space="preserve">contrataciones@munisanlorenzo.gob.ar</w:t>
        </w:r>
      </w:hyperlink>
      <w:r w:rsidDel="00000000" w:rsidR="00000000" w:rsidRPr="00000000">
        <w:rPr>
          <w:b w:val="1"/>
          <w:sz w:val="36"/>
          <w:szCs w:val="36"/>
          <w:rtl w:val="0"/>
        </w:rPr>
        <w:t xml:space="preserve">)</w:t>
      </w:r>
    </w:p>
    <w:p w:rsidR="00000000" w:rsidDel="00000000" w:rsidP="00000000" w:rsidRDefault="00000000" w:rsidRPr="00000000" w14:paraId="00000010">
      <w:pPr>
        <w:jc w:val="both"/>
        <w:rPr>
          <w:b w:val="1"/>
          <w:sz w:val="24"/>
          <w:szCs w:val="24"/>
        </w:rPr>
      </w:pP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 </w:t>
      </w:r>
    </w:p>
    <w:p w:rsidR="00000000" w:rsidDel="00000000" w:rsidP="00000000" w:rsidRDefault="00000000" w:rsidRPr="00000000" w14:paraId="00000013">
      <w:pPr>
        <w:jc w:val="center"/>
        <w:rPr>
          <w:b w:val="1"/>
        </w:rPr>
      </w:pPr>
      <w:r w:rsidDel="00000000" w:rsidR="00000000" w:rsidRPr="00000000">
        <w:rPr>
          <w:b w:val="1"/>
          <w:u w:val="single"/>
          <w:rtl w:val="0"/>
        </w:rPr>
        <w:t xml:space="preserve">CONDICIONES GENERALES</w:t>
      </w:r>
      <w:r w:rsidDel="00000000" w:rsidR="00000000" w:rsidRPr="00000000">
        <w:rPr>
          <w:b w:val="1"/>
          <w:rtl w:val="0"/>
        </w:rPr>
        <w:t xml:space="preserve"> </w:t>
      </w:r>
    </w:p>
    <w:p w:rsidR="00000000" w:rsidDel="00000000" w:rsidP="00000000" w:rsidRDefault="00000000" w:rsidRPr="00000000" w14:paraId="00000014">
      <w:pPr>
        <w:jc w:val="both"/>
        <w:rPr>
          <w:b w:val="1"/>
          <w:u w:val="single"/>
        </w:rPr>
      </w:pPr>
      <w:r w:rsidDel="00000000" w:rsidR="00000000" w:rsidRPr="00000000">
        <w:rPr>
          <w:rtl w:val="0"/>
        </w:rPr>
      </w:r>
    </w:p>
    <w:p w:rsidR="00000000" w:rsidDel="00000000" w:rsidP="00000000" w:rsidRDefault="00000000" w:rsidRPr="00000000" w14:paraId="00000015">
      <w:pPr>
        <w:jc w:val="both"/>
        <w:rPr>
          <w:b w:val="1"/>
          <w:u w:val="single"/>
        </w:rPr>
      </w:pPr>
      <w:r w:rsidDel="00000000" w:rsidR="00000000" w:rsidRPr="00000000">
        <w:rPr>
          <w:b w:val="1"/>
          <w:u w:val="single"/>
          <w:rtl w:val="0"/>
        </w:rPr>
        <w:t xml:space="preserve"> Adjudicación: </w:t>
      </w:r>
    </w:p>
    <w:p w:rsidR="00000000" w:rsidDel="00000000" w:rsidP="00000000" w:rsidRDefault="00000000" w:rsidRPr="00000000" w14:paraId="00000016">
      <w:pPr>
        <w:jc w:val="both"/>
        <w:rPr>
          <w:i w:val="1"/>
        </w:rPr>
      </w:pPr>
      <w:r w:rsidDel="00000000" w:rsidR="00000000" w:rsidRPr="00000000">
        <w:rPr>
          <w:rtl w:val="0"/>
        </w:rPr>
        <w:t xml:space="preserve">La Municipalidad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7">
      <w:pPr>
        <w:jc w:val="both"/>
        <w:rPr>
          <w:i w:val="1"/>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9">
      <w:pPr>
        <w:jc w:val="both"/>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Precio del servicio con IVA y con hasta dos decimales.</w:t>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Disponibilidad.</w:t>
      </w:r>
    </w:p>
    <w:p w:rsidR="00000000" w:rsidDel="00000000" w:rsidP="00000000" w:rsidRDefault="00000000" w:rsidRPr="00000000" w14:paraId="00000023">
      <w:pPr>
        <w:numPr>
          <w:ilvl w:val="0"/>
          <w:numId w:val="1"/>
        </w:numPr>
        <w:ind w:left="720" w:hanging="360"/>
        <w:jc w:val="both"/>
        <w:rPr/>
      </w:pPr>
      <w:r w:rsidDel="00000000" w:rsidR="00000000" w:rsidRPr="00000000">
        <w:rPr>
          <w:rtl w:val="0"/>
        </w:rPr>
        <w:t xml:space="preserve">Precio unitario y total.</w:t>
      </w:r>
    </w:p>
    <w:p w:rsidR="00000000" w:rsidDel="00000000" w:rsidP="00000000" w:rsidRDefault="00000000" w:rsidRPr="00000000" w14:paraId="00000024">
      <w:pPr>
        <w:ind w:left="720" w:firstLine="0"/>
        <w:jc w:val="both"/>
        <w:rPr/>
      </w:pPr>
      <w:r w:rsidDel="00000000" w:rsidR="00000000" w:rsidRPr="00000000">
        <w:rPr>
          <w:rtl w:val="0"/>
        </w:rPr>
      </w:r>
    </w:p>
    <w:p w:rsidR="00000000" w:rsidDel="00000000" w:rsidP="00000000" w:rsidRDefault="00000000" w:rsidRPr="00000000" w14:paraId="00000025">
      <w:pPr>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u w:val="single"/>
          <w:rtl w:val="0"/>
        </w:rPr>
        <w:t xml:space="preserve">Forma de Pago: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100% contra entrega cheque y/o transferencia.</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rPr>
          <w:i w:val="1"/>
        </w:rPr>
      </w:pPr>
      <w:r w:rsidDel="00000000" w:rsidR="00000000" w:rsidRPr="00000000">
        <w:rPr>
          <w:i w:val="1"/>
          <w:rtl w:val="0"/>
        </w:rPr>
        <w:t xml:space="preserve">CUIT: 30-65674783-4</w:t>
      </w:r>
    </w:p>
    <w:p w:rsidR="00000000" w:rsidDel="00000000" w:rsidP="00000000" w:rsidRDefault="00000000" w:rsidRPr="00000000" w14:paraId="00000035">
      <w:pPr>
        <w:rPr>
          <w:i w:val="1"/>
        </w:rPr>
      </w:pPr>
      <w:r w:rsidDel="00000000" w:rsidR="00000000" w:rsidRPr="00000000">
        <w:rPr>
          <w:i w:val="1"/>
          <w:rtl w:val="0"/>
        </w:rPr>
        <w:t xml:space="preserve">IVA SUJETO EXENTO </w:t>
      </w:r>
    </w:p>
    <w:p w:rsidR="00000000" w:rsidDel="00000000" w:rsidP="00000000" w:rsidRDefault="00000000" w:rsidRPr="00000000" w14:paraId="00000036">
      <w:pPr>
        <w:rPr>
          <w:i w:val="1"/>
        </w:rPr>
      </w:pPr>
      <w:r w:rsidDel="00000000" w:rsidR="00000000" w:rsidRPr="00000000">
        <w:rPr>
          <w:i w:val="1"/>
          <w:rtl w:val="0"/>
        </w:rPr>
        <w:t xml:space="preserve">Factura B o C.</w:t>
      </w:r>
    </w:p>
    <w:p w:rsidR="00000000" w:rsidDel="00000000" w:rsidP="00000000" w:rsidRDefault="00000000" w:rsidRPr="00000000" w14:paraId="00000037">
      <w:pPr>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jc w:val="both"/>
        <w:rPr>
          <w:b w:val="1"/>
          <w:u w:val="single"/>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Inmediata.</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E">
      <w:pPr>
        <w:jc w:val="both"/>
        <w:rPr/>
      </w:pPr>
      <w:r w:rsidDel="00000000" w:rsidR="00000000" w:rsidRPr="00000000">
        <w:rPr>
          <w:rtl w:val="0"/>
        </w:rPr>
        <w:t xml:space="preserve">Depósito municipal.</w:t>
      </w:r>
    </w:p>
    <w:p w:rsidR="00000000" w:rsidDel="00000000" w:rsidP="00000000" w:rsidRDefault="00000000" w:rsidRPr="00000000" w14:paraId="0000003F">
      <w:pPr>
        <w:jc w:val="both"/>
        <w:rPr/>
      </w:pPr>
      <w:r w:rsidDel="00000000" w:rsidR="00000000" w:rsidRPr="00000000">
        <w:rPr>
          <w:rtl w:val="0"/>
        </w:rPr>
        <w:t xml:space="preserve">-Libre de fletes u otros gastos.</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2">
      <w:pPr>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5">
      <w:pPr>
        <w:jc w:val="both"/>
        <w:rPr>
          <w:b w:val="1"/>
          <w:u w:val="single"/>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7">
      <w:pPr>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8">
      <w:pPr>
        <w:jc w:val="both"/>
        <w:rPr>
          <w:u w:val="single"/>
        </w:rPr>
      </w:pPr>
      <w:r w:rsidDel="00000000" w:rsidR="00000000" w:rsidRPr="00000000">
        <w:rPr>
          <w:rtl w:val="0"/>
        </w:rPr>
      </w:r>
    </w:p>
    <w:p w:rsidR="00000000" w:rsidDel="00000000" w:rsidP="00000000" w:rsidRDefault="00000000" w:rsidRPr="00000000" w14:paraId="00000049">
      <w:pPr>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A">
      <w:pPr>
        <w:jc w:val="both"/>
        <w:rPr/>
      </w:pPr>
      <w:r w:rsidDel="00000000" w:rsidR="00000000" w:rsidRPr="00000000">
        <w:rPr>
          <w:rtl w:val="0"/>
        </w:rPr>
        <w:t xml:space="preserve"> Los precios estipulados en el contrato serán invariables, salvo la situación descripta en el Art. 49 de la Ley N° 8072, Decreto Reglamentario N° 1319/19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D">
      <w:pPr>
        <w:jc w:val="both"/>
        <w:rPr>
          <w:b w:val="1"/>
          <w:u w:val="single"/>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0">
      <w:pPr>
        <w:rPr>
          <w:b w:val="1"/>
          <w:sz w:val="28"/>
          <w:szCs w:val="28"/>
          <w:u w:val="single"/>
        </w:rPr>
      </w:pPr>
      <w:r w:rsidDel="00000000" w:rsidR="00000000" w:rsidRPr="00000000">
        <w:rPr>
          <w:rtl w:val="0"/>
        </w:rPr>
      </w:r>
    </w:p>
    <w:tbl>
      <w:tblPr>
        <w:tblStyle w:val="Table1"/>
        <w:tblW w:w="6515.0" w:type="dxa"/>
        <w:jc w:val="left"/>
        <w:tblInd w:w="0.0" w:type="dxa"/>
        <w:tblLayout w:type="fixed"/>
        <w:tblLook w:val="0400"/>
      </w:tblPr>
      <w:tblGrid>
        <w:gridCol w:w="825"/>
        <w:gridCol w:w="2280"/>
        <w:gridCol w:w="1032"/>
        <w:gridCol w:w="1310"/>
        <w:gridCol w:w="1068"/>
        <w:tblGridChange w:id="0">
          <w:tblGrid>
            <w:gridCol w:w="825"/>
            <w:gridCol w:w="2280"/>
            <w:gridCol w:w="1032"/>
            <w:gridCol w:w="1310"/>
            <w:gridCol w:w="1068"/>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1">
            <w:pPr>
              <w:spacing w:line="240" w:lineRule="auto"/>
              <w:rPr>
                <w:b w:val="1"/>
                <w:sz w:val="16"/>
                <w:szCs w:val="16"/>
              </w:rPr>
            </w:pPr>
            <w:r w:rsidDel="00000000" w:rsidR="00000000" w:rsidRPr="00000000">
              <w:rPr>
                <w:b w:val="1"/>
                <w:sz w:val="16"/>
                <w:szCs w:val="16"/>
                <w:rtl w:val="0"/>
              </w:rPr>
              <w:t xml:space="preserve">Renglón</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2">
            <w:pPr>
              <w:spacing w:line="240" w:lineRule="auto"/>
              <w:rPr>
                <w:b w:val="1"/>
              </w:rPr>
            </w:pPr>
            <w:r w:rsidDel="00000000" w:rsidR="00000000" w:rsidRPr="00000000">
              <w:rPr>
                <w:b w:val="1"/>
                <w:rtl w:val="0"/>
              </w:rPr>
              <w:t xml:space="preserve">Bien</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3">
            <w:pPr>
              <w:spacing w:line="240" w:lineRule="auto"/>
              <w:rPr>
                <w:b w:val="1"/>
              </w:rPr>
            </w:pPr>
            <w:r w:rsidDel="00000000" w:rsidR="00000000" w:rsidRPr="00000000">
              <w:rPr>
                <w:b w:val="1"/>
                <w:rtl w:val="0"/>
              </w:rPr>
              <w:t xml:space="preserve">Cantidad</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4">
            <w:pPr>
              <w:spacing w:line="240" w:lineRule="auto"/>
              <w:rPr>
                <w:b w:val="1"/>
              </w:rPr>
            </w:pPr>
            <w:r w:rsidDel="00000000" w:rsidR="00000000" w:rsidRPr="00000000">
              <w:rPr>
                <w:b w:val="1"/>
                <w:rtl w:val="0"/>
              </w:rPr>
              <w:t xml:space="preserve">Precio Unitario</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5">
            <w:pPr>
              <w:spacing w:line="240" w:lineRule="auto"/>
              <w:rPr>
                <w:b w:val="1"/>
              </w:rPr>
            </w:pPr>
            <w:r w:rsidDel="00000000" w:rsidR="00000000" w:rsidRPr="00000000">
              <w:rPr>
                <w:b w:val="1"/>
                <w:rtl w:val="0"/>
              </w:rPr>
              <w:t xml:space="preserve">Subtotal</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6">
            <w:pPr>
              <w:spacing w:line="240" w:lineRule="auto"/>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caño 80x80 de 2mm</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8">
            <w:pPr>
              <w:spacing w:line="240" w:lineRule="auto"/>
              <w:jc w:val="center"/>
              <w:rPr>
                <w:sz w:val="20"/>
                <w:szCs w:val="20"/>
              </w:rPr>
            </w:pPr>
            <w:r w:rsidDel="00000000" w:rsidR="00000000" w:rsidRPr="00000000">
              <w:rPr>
                <w:sz w:val="20"/>
                <w:szCs w:val="20"/>
                <w:rtl w:val="0"/>
              </w:rPr>
              <w:t xml:space="preserve">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9">
            <w:pPr>
              <w:spacing w:line="24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B">
            <w:pPr>
              <w:spacing w:line="240" w:lineRule="auto"/>
              <w:jc w:val="center"/>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caño 40x20 de 1,6mm</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D">
            <w:pPr>
              <w:spacing w:line="240" w:lineRule="auto"/>
              <w:jc w:val="center"/>
              <w:rPr>
                <w:sz w:val="20"/>
                <w:szCs w:val="20"/>
              </w:rPr>
            </w:pPr>
            <w:r w:rsidDel="00000000" w:rsidR="00000000" w:rsidRPr="00000000">
              <w:rPr>
                <w:sz w:val="20"/>
                <w:szCs w:val="20"/>
                <w:rtl w:val="0"/>
              </w:rPr>
              <w:t xml:space="preserve">25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E">
            <w:pPr>
              <w:spacing w:line="24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0">
            <w:pPr>
              <w:spacing w:line="240" w:lineRule="auto"/>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caños 25x25 de 1,6mm</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2">
            <w:pPr>
              <w:spacing w:line="240" w:lineRule="auto"/>
              <w:jc w:val="center"/>
              <w:rPr>
                <w:sz w:val="20"/>
                <w:szCs w:val="20"/>
              </w:rPr>
            </w:pPr>
            <w:r w:rsidDel="00000000" w:rsidR="00000000" w:rsidRPr="00000000">
              <w:rPr>
                <w:sz w:val="20"/>
                <w:szCs w:val="20"/>
                <w:rtl w:val="0"/>
              </w:rPr>
              <w:t xml:space="preserve">107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3">
            <w:pPr>
              <w:spacing w:line="24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sectPr>
      <w:footerReference r:id="rId10" w:type="default"/>
      <w:pgSz w:h="16834" w:w="11909" w:orient="portrait"/>
      <w:pgMar w:bottom="1440"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sz w:val="20"/>
        <w:szCs w:val="20"/>
      </w:rPr>
    </w:pPr>
    <w:r w:rsidDel="00000000" w:rsidR="00000000" w:rsidRPr="00000000">
      <w:rPr>
        <w:sz w:val="20"/>
        <w:szCs w:val="20"/>
        <w:rtl w:val="0"/>
      </w:rPr>
      <w:t xml:space="preserve">Firma y sello del oferente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lrzxr" w:customStyle="1">
    <w:name w:val="lrzxr"/>
    <w:basedOn w:val="Fuentedeprrafopredeter"/>
    <w:rsid w:val="00A37E1A"/>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contrataciones@munisanlorenzo.gob.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Xwv482bHs3zv0JGVslMkABSAg==">AMUW2mXI3DTcnpKAB3EkqiUOxm/CRQvKdAHepnhdkWWyFKBfjuDw0WzBYQac23ueqiWAVlxOckaIpumXgEG3hoaMEpCgMUOTjisRsGczQILQJsm6eYn+Kc3ZdedgCeoYyHpUwjJBYX21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2022-05-05T11:43:00Z</dcterms:created>
  <dc:creator>Asistente de Compras</dc:creator>
</cp:coreProperties>
</file>